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7" w:rsidRDefault="00787FD7" w:rsidP="00787FD7">
      <w:pPr>
        <w:pStyle w:val="NormlWeb"/>
        <w:spacing w:before="160" w:beforeAutospacing="0" w:after="160" w:afterAutospacing="0"/>
        <w:jc w:val="center"/>
        <w:rPr>
          <w:i/>
          <w:iCs/>
        </w:rPr>
      </w:pPr>
      <w:r>
        <w:t>2013. évi CCXII. törvény</w:t>
      </w:r>
    </w:p>
    <w:p w:rsidR="00787FD7" w:rsidRDefault="00787FD7" w:rsidP="00787FD7">
      <w:pPr>
        <w:pStyle w:val="NormlWeb"/>
        <w:spacing w:before="160" w:beforeAutospacing="0" w:after="160" w:afterAutospacing="0"/>
        <w:jc w:val="center"/>
      </w:pPr>
      <w:r>
        <w:rPr>
          <w:i/>
          <w:iCs/>
        </w:rPr>
        <w:t>A KÖZÖS TULAJDONBAN ÁLLÓ FÖLDEK HASZNÁLATÁNAK SZABÁLYAI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69. §</w:t>
      </w:r>
      <w:r>
        <w:t xml:space="preserve"> (1) A közös tulajdonban álló föld használatára, használatba adására – a (2) bekezdésben meghatározott eset kivételével – e törvény eltérő rendelkezése hiányában a </w:t>
      </w:r>
      <w:proofErr w:type="spellStart"/>
      <w:r>
        <w:t>Ptk.-nak</w:t>
      </w:r>
      <w:proofErr w:type="spellEnd"/>
      <w:r>
        <w:t xml:space="preserve"> a közös tulajdon használatára vonatkozó szabályait kell alkalmazni.</w:t>
      </w:r>
    </w:p>
    <w:p w:rsidR="00787FD7" w:rsidRDefault="00787FD7" w:rsidP="00787FD7">
      <w:pPr>
        <w:pStyle w:val="NormlWeb"/>
        <w:pBdr>
          <w:left w:val="single" w:sz="36" w:space="3" w:color="FF0000"/>
        </w:pBdr>
        <w:spacing w:after="20" w:afterAutospacing="0"/>
        <w:ind w:firstLine="180"/>
        <w:jc w:val="both"/>
      </w:pPr>
      <w:r>
        <w:t>(2)</w:t>
      </w:r>
      <w:bookmarkStart w:id="0" w:name="foot_32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"foot32"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32</w:t>
      </w:r>
      <w:r w:rsidR="00097AC6">
        <w:rPr>
          <w:vertAlign w:val="superscript"/>
        </w:rPr>
        <w:fldChar w:fldCharType="end"/>
      </w:r>
      <w:bookmarkEnd w:id="0"/>
      <w:r>
        <w:t xml:space="preserve"> A közös tulajdonban álló, a Földforgalmi törvény 2. § (3) bekezdésében meghatározott erdőnek minősülő föld haszonbérletbe adása esetén az erdőről, az erdő védelméről és az erdőgazdálkodásról szóló törvényt kell alkalmazni.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(3) Ezen fejezet alkalmazásában a közös tulajdonban álló földön fennálló haszonélvezeti jog esetében a tulajdonostárs alatt a haszonélvezőt is érteni kell.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70. §</w:t>
      </w:r>
      <w:bookmarkStart w:id="1" w:name="foot_33_place"/>
      <w:r w:rsidR="00097AC6"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 xml:space="preserve"> HYPERLINK "http://njt.hu/cgi_bin/njt_doc.cgi?docid=165413.338633" \l "foot33" </w:instrText>
      </w:r>
      <w:r w:rsidR="00097AC6">
        <w:rPr>
          <w:b/>
          <w:bCs/>
          <w:vertAlign w:val="superscript"/>
        </w:rPr>
        <w:fldChar w:fldCharType="separate"/>
      </w:r>
      <w:r>
        <w:rPr>
          <w:rStyle w:val="Hiperhivatkozs"/>
          <w:b/>
          <w:bCs/>
          <w:vertAlign w:val="superscript"/>
        </w:rPr>
        <w:t>33</w:t>
      </w:r>
      <w:r w:rsidR="00097AC6">
        <w:rPr>
          <w:b/>
          <w:bCs/>
          <w:vertAlign w:val="superscript"/>
        </w:rPr>
        <w:fldChar w:fldCharType="end"/>
      </w:r>
      <w:bookmarkEnd w:id="1"/>
      <w:r>
        <w:t xml:space="preserve"> (1) A tulajdonostársak mindegyike jogosult a közös tulajdonban álló föld területéből a saját tulajdoni hányadának megfelelő terület használatára.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(2) Az (1) bekezdés szerinti jogosultság gyakorlása, valamint a földhasznosítási kötelezettség teljesítése érdekében a tulajdonostársak – a 71. §</w:t>
      </w:r>
      <w:proofErr w:type="spellStart"/>
      <w:r>
        <w:t>-ban</w:t>
      </w:r>
      <w:proofErr w:type="spellEnd"/>
      <w:r>
        <w:t xml:space="preserve"> meghatározottak szerint – kötelesek a közös tulajdonban álló földön belül az egyes tulajdonostársak részére a tulajdoni hányaduknak megfelelő területek elhelyezkedését kijelölni (a továbbiakban: használati rend).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(3) Az (1) bekezdésben foglaltakon túl a tulajdonostárs jogosult a használati rendben meghatározott terület egésze vagy ezen terület egy meghatározott része használati jogosultságának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tulajdoni hányadot meghaladó mértékű többlethasználati megállapodással (a továbbiakban: többlethasználati megállapodás) másik tulajdonostárs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b)</w:t>
      </w:r>
      <w:r>
        <w:t xml:space="preserve"> a Földforgalmi törvény 38. § (1) bekezdése szerinti és e törvény 72–75. §</w:t>
      </w:r>
      <w:proofErr w:type="spellStart"/>
      <w:r>
        <w:t>-a</w:t>
      </w:r>
      <w:proofErr w:type="spellEnd"/>
      <w:r>
        <w:t xml:space="preserve"> szerint létrehozott földhasználati szerződéssel harmadik személy</w:t>
      </w:r>
    </w:p>
    <w:p w:rsidR="00787FD7" w:rsidRDefault="00787FD7" w:rsidP="00787FD7">
      <w:pPr>
        <w:pStyle w:val="NormlWeb"/>
      </w:pPr>
      <w:proofErr w:type="gramStart"/>
      <w:r>
        <w:t>javára</w:t>
      </w:r>
      <w:proofErr w:type="gramEnd"/>
      <w:r>
        <w:t xml:space="preserve"> történő átengedésére.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(4) A többlethasználati megállapodást írásba kell foglalni. Ha a többlethasználati megállapodásban a (3) bekezdésben foglaltak szerint a terület egy része használatának átengedése történik, úgy a többlethasználati megállapodás a 71. § (9) bekezdése szerint elkészített térképi kimutatással együtt érvényes, amely a megállapodás elválaszthatatlan mellékletét képezi. A térképi kimutatást a többlethasználati megállapodásban részes tulajdonostársaknak kell aláírniuk.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(5) A tulajdonostársak között többlethasználati megállapodás jön létre a haszonbérleti szerződés szerinti tartalommal akkor is, ha a tulajdonostárs részéről a Földforgalmi törvény 46. § (2) bekezdése vagy a Ptk. 5:81. § (1) bekezdése szerinti </w:t>
      </w:r>
      <w:proofErr w:type="spellStart"/>
      <w:r>
        <w:t>előhaszonbérleti</w:t>
      </w:r>
      <w:proofErr w:type="spellEnd"/>
      <w:r>
        <w:t xml:space="preserve"> jog gyakorlására kerül sor.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71. §</w:t>
      </w:r>
      <w:r>
        <w:t xml:space="preserve"> (1)</w:t>
      </w:r>
      <w:bookmarkStart w:id="2" w:name="foot_34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"foot34"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34</w:t>
      </w:r>
      <w:r w:rsidR="00097AC6">
        <w:rPr>
          <w:vertAlign w:val="superscript"/>
        </w:rPr>
        <w:fldChar w:fldCharType="end"/>
      </w:r>
      <w:bookmarkEnd w:id="2"/>
      <w:r>
        <w:t xml:space="preserve"> A közös tulajdonban álló földön a 70. § szerinti használati rend kialakításához az e §</w:t>
      </w:r>
      <w:proofErr w:type="spellStart"/>
      <w:r>
        <w:t>-ban</w:t>
      </w:r>
      <w:proofErr w:type="spellEnd"/>
      <w:r>
        <w:t xml:space="preserve"> meghatározottak szerint a tulajdonostársak tulajdoni hányad alapján számított többségi döntése szükséges azzal, hogy ha a tulajdonostársak tulajdoni hányad alapján </w:t>
      </w:r>
      <w:r>
        <w:lastRenderedPageBreak/>
        <w:t>számított legalább egytizede a használati megosztásról szóló (5) bekezdés szerinti ajánlatban foglaltakkal nem ért egyet, akkor a használati rend kialakításához a tulajdonostársak tulajdoni hányad alapján számított kétharmados döntése szükséges. A használati rendet a használati megosztásról szóló megállapodásban kell rögzíteni.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(1a)</w:t>
      </w:r>
      <w:bookmarkStart w:id="3" w:name="foot_35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"foot35"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35</w:t>
      </w:r>
      <w:r w:rsidR="00097AC6">
        <w:rPr>
          <w:vertAlign w:val="superscript"/>
        </w:rPr>
        <w:fldChar w:fldCharType="end"/>
      </w:r>
      <w:bookmarkEnd w:id="3"/>
      <w:r>
        <w:t xml:space="preserve"> Mellőzhető a használati megosztásáról szóló megállapodás, ha a földrészlet teljes területét egyetlen személy használatába adják.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(2) A használati megosztásról szóló megállapodásban rögzíteni kell a megállapodás időtartamát, vagy ha azt a tulajdonostársak határozatlan időre hozták létre, akkor ennek tényét.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(2a)</w:t>
      </w:r>
      <w:bookmarkStart w:id="4" w:name="foot_36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"foot36"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36</w:t>
      </w:r>
      <w:r w:rsidR="00097AC6">
        <w:rPr>
          <w:vertAlign w:val="superscript"/>
        </w:rPr>
        <w:fldChar w:fldCharType="end"/>
      </w:r>
      <w:bookmarkEnd w:id="4"/>
      <w:r>
        <w:t xml:space="preserve"> </w:t>
      </w:r>
      <w:proofErr w:type="gramStart"/>
      <w:r>
        <w:t>A</w:t>
      </w:r>
      <w:proofErr w:type="gramEnd"/>
      <w:r>
        <w:t xml:space="preserve"> használati megosztásról szóló megállapodásban a használati rend meghatározása során több tulajdonostárs tulajdoni hányadának megfelelő mértékű terület egyben is kijelölhető, ha annak használatát egységesen egy harmadik személy részére kívánják átengedni.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(3) A használati megosztáshoz való hozzájárulást megadottnak kell tekinteni az olyan tulajdonostárs esetében, akinek a részére a használati megosztásról szóló ajánlat vagy a tervezett megállapodás közlése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nem lehetséges, mert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 xml:space="preserve"> személye bizonytalan,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 xml:space="preserve"> lakcíme, tartózkodási helye, székhelye, telephelye, fióktelepe ismeretlen;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b)</w:t>
      </w:r>
      <w:r>
        <w:t xml:space="preserve"> meghiúsul, mert a postai küldemény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 xml:space="preserve"> azzal a jelzéssel érkezik vissza, hogy „nem kereste” vagy a címzett tulajdonostárs „elköltözött”,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 xml:space="preserve"> átvételét megtagadta,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c)</w:t>
      </w:r>
      <w:r>
        <w:t xml:space="preserve"> eredményes, de a nyilatkozattételre megszabott határidőn belül nem nyilatkozott.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(4) A (3) bekezdés </w:t>
      </w:r>
      <w:r>
        <w:rPr>
          <w:i/>
          <w:iCs/>
        </w:rPr>
        <w:t>a)</w:t>
      </w:r>
      <w:r>
        <w:t xml:space="preserve"> pont </w:t>
      </w: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 xml:space="preserve"> alpontjának alkalmazása szempontjából akkor minősül a tulajdonostárs személye bizonytalannak, ha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azonosítása nem lehetséges az ingatlan-nyilvántartásban szereplő adatai alapján,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b)</w:t>
      </w:r>
      <w:bookmarkStart w:id="5" w:name="foot_37_place"/>
      <w:r w:rsidR="00097AC6"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"http://njt.hu/cgi_bin/njt_doc.cgi?docid=165413.338633" \l "foot37" </w:instrText>
      </w:r>
      <w:r w:rsidR="00097AC6"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37</w:t>
      </w:r>
      <w:r w:rsidR="00097AC6">
        <w:rPr>
          <w:i/>
          <w:iCs/>
          <w:vertAlign w:val="superscript"/>
        </w:rPr>
        <w:fldChar w:fldCharType="end"/>
      </w:r>
      <w:bookmarkEnd w:id="5"/>
      <w:r>
        <w:t xml:space="preserve"> természetes személy esetén örököse, gazdálkodó szervezet esetén jogutódja az ingatlan-nyilvántartásból nem állapítható meg.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(5) A használati rend kialakítását kezdeményező tulajdonostársnak a használati megosztásról szóló ajánlatot vagy tervezett megállapodást írásban, igazolt módon kell közölnie a tulajdonostársakkal. Az ajánlat vagy a tervezett megállapodás elfogadására biztosított határidő nem lehet kevesebb 30 napnál.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lastRenderedPageBreak/>
        <w:t>(6)</w:t>
      </w:r>
      <w:bookmarkStart w:id="6" w:name="foot_38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"foot38"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38</w:t>
      </w:r>
      <w:r w:rsidR="00097AC6">
        <w:rPr>
          <w:vertAlign w:val="superscript"/>
        </w:rPr>
        <w:fldChar w:fldCharType="end"/>
      </w:r>
      <w:bookmarkEnd w:id="6"/>
      <w:r>
        <w:t xml:space="preserve"> A használati megosztásról szóló megállapodást egységes okiratba kell foglalni. A megállapodást legalább azoknak a tulajdonostársaknak alá kell írnia, akik az (1) bekezdés szerinti döntést jóváhagyták, ide nem értve azt a tulajdonostársat, akinek esetében a használati megosztáshoz való hozzájárulást – a (3) bekezdésben foglaltak alapján, az ott meghatározott valamely körülmény miatt – megadottnak kell tekinteni. A használati megosztásról szóló megállapodás valamennyi tulajdonostársra kiterjed.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(7) A (6) bekezdésben meghatározott egységes okiratnak minősül az is, ha a használati megállapodás több példányban készül és az egyes példányokat a (6) bekezdésben meghatározott tulajdonostársak (e </w:t>
      </w:r>
      <w:proofErr w:type="gramStart"/>
      <w:r>
        <w:t>fejezetben</w:t>
      </w:r>
      <w:proofErr w:type="gramEnd"/>
      <w:r>
        <w:t xml:space="preserve"> a továbbiakban: a használati megállapodásban részes tulajdonostársak) külön-külön írják alá.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(8) A használati megosztásról szóló megállapodás – a (10) bekezdésben meghatározott esetek kivételével – a (9) bekezdésben meghatározott módon elkészített, a használati rendet ábrázoló térképi kimutatással együtt érvényes, az a megállapodás elválaszthatatlan mellékletét képezi.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(9) A használati megosztásról szóló megállapodásban részes tulajdonostársaknak az állami ingatlan-nyilvántartási térképi adatbázisból szolgáltatott – 30 napnál nem régebbi – hiteles szemle másolaton egyértelmű jelzéssel, a használati megosztásról szóló megállapodásnak megfelelően, azzal azonosítható módon ábrázolni kell az egyes tulajdonostársak részére kijelölt területet. A térképi kimutatást a használati megállapodásban részes tulajdonostársaknak alá kell írni.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(10) Nem kell térképi kimutatást készíteni, ha a használati megosztásról szóló megállapodás alapján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egy tulajdonostárs használja a föld teljes területét,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b)</w:t>
      </w:r>
      <w:r>
        <w:t xml:space="preserve"> a tulajdonostársak elkülönült használata a földnek az ingatlan-nyilvántartási térképen azonosítható </w:t>
      </w:r>
      <w:proofErr w:type="spellStart"/>
      <w:r>
        <w:t>alrészlete</w:t>
      </w:r>
      <w:proofErr w:type="spellEnd"/>
      <w:r>
        <w:t xml:space="preserve"> teljes területére vonatkozik.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(11) A használati megosztásról szóló megállapodást a tulajdonostárs az (1)–(9) bekezdésben foglaltak megsértése esetén a bíróság előtt megtámadhatja.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(12)</w:t>
      </w:r>
      <w:bookmarkStart w:id="7" w:name="foot_39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"foot39"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39</w:t>
      </w:r>
      <w:r w:rsidR="00097AC6">
        <w:rPr>
          <w:vertAlign w:val="superscript"/>
        </w:rPr>
        <w:fldChar w:fldCharType="end"/>
      </w:r>
      <w:bookmarkEnd w:id="7"/>
      <w:r>
        <w:t xml:space="preserve"> A használati megosztásról szóló megállapodás létrehozatala vagy módosítása során a tulajdonostárs helyett és nevében a képviselője is eljárhat.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72. §</w:t>
      </w:r>
      <w:r>
        <w:t xml:space="preserve"> (1) Ha a közös tulajdonban álló föld teljes területét vagy annak egy meghatározott részét harmadik személy (e </w:t>
      </w:r>
      <w:proofErr w:type="gramStart"/>
      <w:r>
        <w:t>fejezetben</w:t>
      </w:r>
      <w:proofErr w:type="gramEnd"/>
      <w:r>
        <w:t xml:space="preserve"> a továbbiakban: ajánlattevő) kívánja használatba venni, az erre vonatkozó ajánlatát írásban, igazolt módon közölnie kell az ingatlan-nyilvántartásba bejegyzett valamennyi tulajdonossal.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(2) Az (1) bekezdésben foglaltaktól eltérően, ha az ajánlattevő a földnek csak egy meghatározott részét kívánja használatba venni és tudomással bír a tulajdonostársak között fennálló, a használati megosztásról szóló megállapodás tartalmáról, az ajánlatát elegendő azokkal a tulajdonostársakkal írásban, igazolt módon közölnie, akik a használati megosztásról szóló megállapodás alapján a földnek az ajánlat tartalma szerinti területét használják.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(3) Az (1) bekezdés szerinti ajánlatnak tartalmaznia kell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lastRenderedPageBreak/>
        <w:t>a</w:t>
      </w:r>
      <w:proofErr w:type="gramEnd"/>
      <w:r>
        <w:rPr>
          <w:i/>
          <w:iCs/>
        </w:rPr>
        <w:t>)</w:t>
      </w:r>
      <w:r>
        <w:t xml:space="preserve"> az ajánlattevő természetes személy nevét, lakcímét, az ajánlattevő gazdálkodó szervezet megnevezését, székhelyét, telephelyét, fióktelepét, valamint azt az értesítési címet – ha az eltér a lakcímtől, illetve a székhelytől, telephelytől, fiókteleptől – ahova a felhívásra vonatkozó nyilatkozatok visszaküldését kéri,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b)</w:t>
      </w:r>
      <w:r>
        <w:t xml:space="preserve"> a használatba venni kívánt </w:t>
      </w:r>
      <w:proofErr w:type="gramStart"/>
      <w:r>
        <w:t>föld azonosító</w:t>
      </w:r>
      <w:proofErr w:type="gramEnd"/>
      <w:r>
        <w:t xml:space="preserve"> adatait (település, helyrajzi szám),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c)</w:t>
      </w:r>
      <w:r>
        <w:t xml:space="preserve"> a használatba venni kívánt földterület nagyságát és művelési ágát,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d)</w:t>
      </w:r>
      <w:r>
        <w:t xml:space="preserve"> a megkötendő földhasználati szerződés típusát,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a használatért fizetendő ellenszolgáltatás módját és mértékét, illetve ingyenes használat esetén ennek megjelölését,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 xml:space="preserve"> a használat tervezett időtartamát,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 xml:space="preserve"> az ajánlat elfogadására megszabott határidőt (az ajánlati kötöttség határidejét), amely nem lehet kevesebb 30 napnál, és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 xml:space="preserve"> olyan egyéb körülményeket, információkat, amelyek a jogok gyakorlása és kötelezettségek teljesítése, valamint a föld hasznosításának módja szempontjából lényegesek.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(4) Az ajánlat elfogadásáról a tulajdonostársak egy okiratban is nyilatkozhatnak.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(5) Az ajánlatban foglaltakat elfogadottnak kell tekinteni az olyan tulajdonostárs esetében, akinek részére az ajánlat közlése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71. § (3) bekezdés </w:t>
      </w:r>
      <w:r>
        <w:rPr>
          <w:i/>
          <w:iCs/>
        </w:rPr>
        <w:t>a)</w:t>
      </w:r>
      <w:r>
        <w:t xml:space="preserve"> és </w:t>
      </w:r>
      <w:r>
        <w:rPr>
          <w:i/>
          <w:iCs/>
        </w:rPr>
        <w:t>b)</w:t>
      </w:r>
      <w:r>
        <w:t xml:space="preserve"> pontjában meghatározottak szerint lehetetlen, illetve meghiúsul, vagy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i/>
          <w:iCs/>
        </w:rPr>
        <w:t>b)</w:t>
      </w:r>
      <w:r>
        <w:t xml:space="preserve"> eredményes, de a (3) bekezdés </w:t>
      </w:r>
      <w:r>
        <w:rPr>
          <w:i/>
          <w:iCs/>
        </w:rPr>
        <w:t>g)</w:t>
      </w:r>
      <w:r>
        <w:t xml:space="preserve"> pontja szerinti határidőn belül nem nyilatkozott.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(6) Az ajánlat tartalmának az a tulajdonostársak általi teljes körű elfogadása – figyelemmel a (2) és (5) bekezdésben foglaltakra – minősül elfogadott ajánlatnak, amellyel a használatba adásra vonatkozó földhasználati szerződés az ajánlattevő és a tulajdonostársak között létrejön.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(7) Ha az elfogadott ajánlat a föld egy meghatározott részének a használatba vételére irányul és </w:t>
      </w:r>
      <w:proofErr w:type="gramStart"/>
      <w:r>
        <w:t>ezáltal</w:t>
      </w:r>
      <w:proofErr w:type="gramEnd"/>
      <w:r>
        <w:t xml:space="preserve"> módosul a használati megosztásról szóló megállapodás szerinti használati rend, a tulajdonostársaknak gondoskodni kell a használati megosztásról szóló megállapodás és a térképi kimutatás módosításáról annak érdekében, hogy a tulajdonostársak, valamint az ajánlattevő által használt területek elkülönítésre kerüljenek.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73. §</w:t>
      </w:r>
      <w:r>
        <w:t xml:space="preserve"> (1) Az ajánlat tartalmától eltérő tartalmú elfogadó nyilatkozatokat az ajánlattevő megvizsgálja, és ha a használatba vételi szándéka továbbra is fennáll, az elfogadó nyilatkozatok tartalmától függően módosított ajánlatot köteles közölni. A módosított ajánlat új ajánlatnak minősül, amelynek közlésére és elfogadására a 72. §</w:t>
      </w:r>
      <w:proofErr w:type="spellStart"/>
      <w:r>
        <w:t>-ban</w:t>
      </w:r>
      <w:proofErr w:type="spellEnd"/>
      <w:r>
        <w:t xml:space="preserve"> foglaltakat kell alkalmazni.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(2) Az (1) bekezdésben foglaltakat kell alkalmazni akkor is, ha a tulajdonostárs az ajánlatra a megadott határidőn belül úgy nyilatkozik, hogy a használati megosztás alapján a tulajdoni </w:t>
      </w:r>
      <w:r>
        <w:lastRenderedPageBreak/>
        <w:t>hányadának megfelelő vagy attól eltérő területet maga kívánja használni, illetve annak használatát az ajánlattevőtől eltérő más személynek vagy gazdálkodó szervezetnek kívánja átengedni.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74. §</w:t>
      </w:r>
      <w:r>
        <w:t xml:space="preserve"> (1) A földhasználati szerződést egységes okiratba kell foglalni.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(2) A föld teljes területének használatára vonatkozó földhasználati szerződést valamennyi tulajdonostársnak alá kell írnia, ide nem értve azt a tulajdonostársat, akinek esetében az ajánlatot – a 71. § (3) bekezdésében foglaltak alapján, az ott meghatározott valamely körülmény miatt – elfogadottnak kell tekinteni. A föld teljes területének használatára vonatkozó földhasználati szerződés valamennyi tulajdonostársra kiterjed.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(3) Ha a földhasználati szerződés a föld egy részének használatára jött létre, a szerződést – a (2) bekezdéstől eltérően – azon tulajdonostársnak nem kell aláírnia, aki a használati megosztás alapján a tulajdoni hányadának megfelelő vagy attól eltérő területet maga használja, illetve más földhasználó használja és a földhasználati szerződés megkötése e rendezett földhasználatot nem módosítja.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(4) </w:t>
      </w:r>
      <w:proofErr w:type="gramStart"/>
      <w:r>
        <w:t>Az (1) bekezdésben meghatározott egységes okiratba foglalt földhasználati szerződésnek minősül az is, ha a tulajdonostársak és a harmadik személy a föld egészére, illetve annak egy meghatározott területére létrejött földhasználati szerződés tartalmát tulajdonostársanként külön-külön okiratba foglalják, feltéve, hogy azok a jogviszony tartalmában nem térnek el egymástól, az eltérés kizárólag a használatba adó tulajdonostársak személyében és az őket megillető tulajdoni hányadnak megfelelő azon terület tekintetében áll fenn, amelyet a harmadik személy részére használatra átengednek.</w:t>
      </w:r>
      <w:proofErr w:type="gramEnd"/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(5) Ha a 72. §</w:t>
      </w:r>
      <w:proofErr w:type="spellStart"/>
      <w:r>
        <w:t>-ban</w:t>
      </w:r>
      <w:proofErr w:type="spellEnd"/>
      <w:r>
        <w:t xml:space="preserve"> foglaltak alkalmazása során a tulajdonostársak és a harmadik személy között haszonbérleti szerződés jött létre, a szerződésben részes tulajdonostársaknak döntést kell hozniuk arról, hogy melyik tulajdonostárs küldi meg a Földforgalmi törvény 49. §</w:t>
      </w:r>
      <w:proofErr w:type="spellStart"/>
      <w:r>
        <w:t>-a</w:t>
      </w:r>
      <w:proofErr w:type="spellEnd"/>
      <w:r>
        <w:t xml:space="preserve"> szerint a haszonbérleti szerződést a jegyző részére.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(6) Ha a földhasználati szerződés a föld egy meghatározott részének használatára jött létre, a szerződés a 71. § szerinti és a 72. § (7) bekezdésének megfelelően módosított térképi kimutatással együtt érvényes, az a szerződés elválaszthatatlan mellékletét képezi.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(7) Az ellenszolgáltatás fejében létrejött földhasználati szerződés esetében az ellenszolgáltatás a 71. § (3) bekezdésében meghatározott tulajdonostársakat is megilleti a tulajdoni hányaduk arányában. Ez esetben a használónak az ellenszolgáltatás megfelelő értékét készpénzben bírósági vagy közjegyzői letétbe kell helyeznie. A letét költségeit a letétbe helyezett ellenszolgáltatás összegéből kell fedezni.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75. §</w:t>
      </w:r>
      <w:r>
        <w:t xml:space="preserve"> A földhasználati szerződést a tulajdonostárs a 72–74. §</w:t>
      </w:r>
      <w:proofErr w:type="spellStart"/>
      <w:r>
        <w:t>-ban</w:t>
      </w:r>
      <w:proofErr w:type="spellEnd"/>
      <w:r>
        <w:t xml:space="preserve"> foglaltak megsértése esetén a bíróság előtt megtámadhatja.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rPr>
          <w:b/>
          <w:bCs/>
        </w:rPr>
        <w:t>76. §</w:t>
      </w:r>
      <w:r>
        <w:t xml:space="preserve"> (1) Az a tulajdonostárs, aki a használati megosztásról szóló megállapodás szerint a földet vagy annak egy meghatározott részét használja, köteles a föld használatát a 95. §</w:t>
      </w:r>
      <w:proofErr w:type="spellStart"/>
      <w:r>
        <w:t>-ban</w:t>
      </w:r>
      <w:proofErr w:type="spellEnd"/>
      <w:r>
        <w:t xml:space="preserve"> foglaltaknak megfelelően bejelenteni a földhasználati nyilvántartásba.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 xml:space="preserve">(2) Ha az ingatlanügyi hatóság a földhasználati nyilvántartás adatai alapján megállapítja, hogy a földhasználati nyilvántartásban a közös tulajdonban álló földre 60 napot meghaladóan </w:t>
      </w:r>
      <w:r>
        <w:lastRenderedPageBreak/>
        <w:t>nincs bejegyzett földhasználó, a jogkövetkezményekre való tájékoztatás mellett, 30 napos határidő kitűzésével felszólítja a tulajdonostársakat a használati megosztásról szóló megállapodás megkötésére és az annak megfelelő földhasználatnak a földhasználati nyilvántartásba való bejelentésére.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(3) Ha a (2) bekezdésben meghatározott felszólítás nem vezet eredményre, az ingatlanügyi hatóság a (2) bekezdésben meghatározott határidő lejártát követő 8 napon belül a tulajdonostársak egyidejű tájékoztatása mellett értesíti a Kamara területi szervét.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(4) A Kamara területi szerve az ingatlanügyi hatóság értesítésétől számított 60 napon belül az e törvény végrehajtására kiadott rendeletben meghatározottak szerint, a tulajdonostársak költségére, sorsolás útján állapítja meg a közös tulajdonban álló föld használati rendjét. Ez esetben a sorsolás eredményéről szóló jegyzőkönyv helyettesíti a tulajdonostársaknak a használati megosztásról szóló megállapodását. A jegyzőkönyvhöz a sorsolás eredményét tükröző térképi kimutatást a Kamara területi szerve készíti el.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(5) A sorsolás útján megállapított használati rend 5 évig hatályos, kivéve, ha a tulajdonostársak a sorsolást követően a használati megosztásról megállapodnak, és az annak megfelelő földhasználat a földhasználati nyilvántartásba bejegyzésre kerül. Ez esetben a sorsolás útján megállapított használati rend hatályát veszti.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(6) Ha a sorsolás a föld egészére kerül lefolytatásra, a használati rend valamennyi tulajdonostársra kiterjed. Ha a sorsolás a földnek a földhasználati nyilvántartásba be nem jegyzett területrészére kerül lefolytatásra, a használati rend nem terjed ki arra a tulajdonostársra, aki a földnek a földhasználati nyilvántartásba bejegyzett területrészét maga használja vagy földhasználati szerződés alapján a használatot harmadik személy részére átengedte.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(7) A sorsolás megtartásával szemben jogorvoslatnak helye nincs. A sorsolás útján megállapított használati rend ellen a sorsolás napját követő 8 napon belül bármelyik tulajdonostárs kifogást nyújthat be, a sorsolásra vonatkozó eljárási szabályok megsértése esetén. A kifogást a Kamara területi szervéhez kell benyújtani, a Kamarának címezve. A Kamara a kifogásról – a kifogás beérkezésétől számított – 15 napon belül dönt. Ha a Kamara a kifogásnak helyt ad, a területi szervet új sorsolás megtartására kötelezi, egyúttal kitűzi az új sorsolás napját. A Kamara a kifogást elutasítja, ha azt megalapozatlannak tartja.</w:t>
      </w:r>
    </w:p>
    <w:p w:rsidR="00787FD7" w:rsidRDefault="00787FD7" w:rsidP="00787FD7">
      <w:pPr>
        <w:pStyle w:val="NormlWeb"/>
        <w:spacing w:after="20" w:afterAutospacing="0"/>
        <w:ind w:firstLine="180"/>
        <w:jc w:val="both"/>
      </w:pPr>
      <w:r>
        <w:t>(8)</w:t>
      </w:r>
      <w:bookmarkStart w:id="8" w:name="foot_40_place"/>
      <w:r w:rsidR="00097AC6"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"http://njt.hu/cgi_bin/njt_doc.cgi?docid=165413.338633" \l "foot40" </w:instrText>
      </w:r>
      <w:r w:rsidR="00097AC6"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40</w:t>
      </w:r>
      <w:r w:rsidR="00097AC6">
        <w:rPr>
          <w:vertAlign w:val="superscript"/>
        </w:rPr>
        <w:fldChar w:fldCharType="end"/>
      </w:r>
      <w:bookmarkEnd w:id="8"/>
      <w:r>
        <w:t xml:space="preserve"> Ha a (3) bekezdésben foglalt értesítést követő 60 napon belül a közös tulajdonban álló földre vagy annak egy meghatározott részére földhasználati bejelentés kerül az ingatlanügyi hatósághoz benyújtásra, erről az ingatlanügyi hatóság haladéktalanul értesíti a Kamara területi szervét. Ez esetben a földhasználati bejelentés elbírálásáig a Kamara területi szervének a sorsolás megtartására irányuló eljárását fel kell függesztenie. Az ingatlanügyi hatóság a földhasználati bejelentés elbírálásáról szóló jogerős döntését az e törvény végrehajtására kiadott rendeletben foglaltak szerint közli a Kamara területi szervével. A Kamara területi szerve a földhasználati bejelentés elbírálásáról szóló jogerős döntés tartalmától függően az eljárást megszünteti vagy folytatja.</w:t>
      </w:r>
    </w:p>
    <w:p w:rsidR="00624F9B" w:rsidRDefault="00624F9B"/>
    <w:sectPr w:rsidR="00624F9B" w:rsidSect="0062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FD7"/>
    <w:rsid w:val="00097AC6"/>
    <w:rsid w:val="00120D3A"/>
    <w:rsid w:val="00624F9B"/>
    <w:rsid w:val="007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F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87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15463</Characters>
  <Application>Microsoft Office Word</Application>
  <DocSecurity>0</DocSecurity>
  <Lines>128</Lines>
  <Paragraphs>35</Paragraphs>
  <ScaleCrop>false</ScaleCrop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Dániel</dc:creator>
  <cp:lastModifiedBy>Vigh Dániel</cp:lastModifiedBy>
  <cp:revision>2</cp:revision>
  <dcterms:created xsi:type="dcterms:W3CDTF">2019-03-13T13:57:00Z</dcterms:created>
  <dcterms:modified xsi:type="dcterms:W3CDTF">2019-03-13T13:57:00Z</dcterms:modified>
</cp:coreProperties>
</file>